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BD9F" w14:textId="77777777" w:rsidR="00C04A34" w:rsidRPr="00C04A34" w:rsidRDefault="00C04A34" w:rsidP="009C255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</w:pPr>
      <w:proofErr w:type="spellStart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>Joint</w:t>
      </w:r>
      <w:proofErr w:type="spellEnd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>Statement</w:t>
      </w:r>
      <w:proofErr w:type="spellEnd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 xml:space="preserve"> - </w:t>
      </w:r>
      <w:proofErr w:type="spellStart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>Sanctions</w:t>
      </w:r>
      <w:proofErr w:type="spellEnd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 xml:space="preserve"> International </w:t>
      </w:r>
      <w:proofErr w:type="spellStart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>Criminal</w:t>
      </w:r>
      <w:proofErr w:type="spellEnd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sk-SK"/>
          <w14:ligatures w14:val="none"/>
        </w:rPr>
        <w:t xml:space="preserve"> (ICC)</w:t>
      </w:r>
    </w:p>
    <w:p w14:paraId="6024323B" w14:textId="77777777" w:rsidR="00C04A34" w:rsidRPr="00C04A34" w:rsidRDefault="00C04A34" w:rsidP="009C25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</w:pP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This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statement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in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support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International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Criminal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endorsed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by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following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States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:</w:t>
      </w:r>
    </w:p>
    <w:p w14:paraId="67A7D919" w14:textId="77777777" w:rsidR="00C04A34" w:rsidRPr="00C04A34" w:rsidRDefault="00C04A34" w:rsidP="009C2557">
      <w:pPr>
        <w:spacing w:after="100" w:afterAutospacing="1" w:line="240" w:lineRule="auto"/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</w:pP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Afghanistan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Albania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Andorra, Antigua and Barbuda,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Austria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Bangladesh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Belgium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Belize,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Bolivia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Bosnia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Herzegovina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Brazil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Bulgaria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Cabo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Verde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Canada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Chile,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Colombia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Comoros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Costa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Rica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Croatia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Cyprus,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Democratic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Republic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Congo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Denmark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Dominican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Republic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Estonia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Finland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France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Gabon, Gambia,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Germany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Ghana,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Greece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Grenada, Guatemala, Honduras,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Iceland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Ireland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Jordan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Latvia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Lesotho,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Liechtenstein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Lithuania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Luxembourg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Maldives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Malta,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Mexico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Mongolia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Montenegro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Namibia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Netherlands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Nigeria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North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Macedonia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Norway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Panama, Peru,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Poland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Portugal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Republic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Moldova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Romania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Saint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Kitts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Nevis, Saint Lucia, Saint Vincent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Grenadines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San Marino, Senegal,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Seychelles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Sierra Leone, Slovakia,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Slovenia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South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Africa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Spain, State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Palestine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Sweden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Switzerland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, Timor-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Leste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Trinidad and Tobago,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Tunisia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Uganda, United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Kingdom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Uruguay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, Vanuatu.</w:t>
      </w:r>
    </w:p>
    <w:p w14:paraId="2D4081DA" w14:textId="77777777" w:rsidR="00C04A34" w:rsidRPr="00C04A34" w:rsidRDefault="00C04A34" w:rsidP="009C25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</w:pP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undersigned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States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Parties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to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Rome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Statute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International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Criminal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(ICC),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reaffirm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our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continued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unwavering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support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for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independence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impartiality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and integrity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ICC.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serves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as a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vital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pillar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international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justice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system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by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ensuring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accountability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for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most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serious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international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crimes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justice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for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victims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.</w:t>
      </w:r>
    </w:p>
    <w:p w14:paraId="1EC26602" w14:textId="77777777" w:rsidR="00C04A34" w:rsidRPr="00C04A34" w:rsidRDefault="00C04A34" w:rsidP="009C25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</w:pP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Today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facing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unprecedented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challenges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.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Measures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sanctioning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its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officials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staff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those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cooperating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with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have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been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adopted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in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response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to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carrying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out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its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mandate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in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accordance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with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Rome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Statute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.</w:t>
      </w:r>
    </w:p>
    <w:p w14:paraId="22D01E17" w14:textId="77777777" w:rsidR="00C04A34" w:rsidRPr="00C04A34" w:rsidRDefault="00C04A34" w:rsidP="009C25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</w:pP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Such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measures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increase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risk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impunity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for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most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serious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crimes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threaten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to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erode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international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rule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law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which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crucial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for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promoting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global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order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security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.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Moreover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sanctions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could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jeopardize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confidentiality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sensitive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information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safety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those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involved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—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including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victims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witnesses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officials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many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whom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are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our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nationals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.</w:t>
      </w:r>
    </w:p>
    <w:p w14:paraId="251F1726" w14:textId="77777777" w:rsidR="00C04A34" w:rsidRPr="00C04A34" w:rsidRDefault="00C04A34" w:rsidP="009C25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</w:pP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lastRenderedPageBreak/>
        <w:t>Sanctions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would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severely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undermine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all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situations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currently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under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investigation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as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may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have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to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close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its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field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offices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.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Advancing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ICC’s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vital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work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serves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our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common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interest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in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promoting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accountability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as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evidenced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by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support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provided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to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by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both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States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Parties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non-States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Parties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.</w:t>
      </w:r>
    </w:p>
    <w:p w14:paraId="34C7C886" w14:textId="77777777" w:rsidR="00C04A34" w:rsidRPr="00C04A34" w:rsidRDefault="00C04A34" w:rsidP="009C25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</w:pPr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As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strong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supporters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ICC,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regret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any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attempts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to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undermine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Court’s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independence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integrity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impartiality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.  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are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committed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to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ensuring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ICC’s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business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continuity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so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that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Court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can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continue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to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carry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out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its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functions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effectively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independently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.</w:t>
      </w:r>
    </w:p>
    <w:p w14:paraId="6F648D9A" w14:textId="77777777" w:rsidR="00C04A34" w:rsidRPr="00C04A34" w:rsidRDefault="00C04A34" w:rsidP="009C2557">
      <w:pPr>
        <w:spacing w:after="100" w:afterAutospacing="1" w:line="240" w:lineRule="auto"/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</w:pPr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As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collectively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strive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to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uphold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international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justice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we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underscore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ICC’s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indispensable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role in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ending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impunity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promoting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the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rule of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law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,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fostering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lasting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respect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for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international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law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and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human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rights</w:t>
      </w:r>
      <w:proofErr w:type="spellEnd"/>
      <w:r w:rsidRPr="00C04A34">
        <w:rPr>
          <w:rFonts w:ascii="Calibri" w:eastAsia="Times New Roman" w:hAnsi="Calibri" w:cs="Calibri"/>
          <w:color w:val="000000"/>
          <w:kern w:val="0"/>
          <w:sz w:val="30"/>
          <w:szCs w:val="30"/>
          <w:lang w:eastAsia="sk-SK"/>
          <w14:ligatures w14:val="none"/>
        </w:rPr>
        <w:t>.</w:t>
      </w:r>
    </w:p>
    <w:p w14:paraId="6F33A9F0" w14:textId="77777777" w:rsidR="005C5264" w:rsidRDefault="005C5264" w:rsidP="009C2557"/>
    <w:sectPr w:rsidR="005C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09FB" w14:textId="77777777" w:rsidR="00C04A34" w:rsidRDefault="00C04A34" w:rsidP="00C04A34">
      <w:pPr>
        <w:spacing w:after="0" w:line="240" w:lineRule="auto"/>
      </w:pPr>
      <w:r>
        <w:separator/>
      </w:r>
    </w:p>
  </w:endnote>
  <w:endnote w:type="continuationSeparator" w:id="0">
    <w:p w14:paraId="6AC5BEA6" w14:textId="77777777" w:rsidR="00C04A34" w:rsidRDefault="00C04A34" w:rsidP="00C0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299E" w14:textId="77777777" w:rsidR="00C04A34" w:rsidRDefault="00C04A34" w:rsidP="00C04A34">
      <w:pPr>
        <w:spacing w:after="0" w:line="240" w:lineRule="auto"/>
      </w:pPr>
      <w:r>
        <w:separator/>
      </w:r>
    </w:p>
  </w:footnote>
  <w:footnote w:type="continuationSeparator" w:id="0">
    <w:p w14:paraId="4A55044B" w14:textId="77777777" w:rsidR="00C04A34" w:rsidRDefault="00C04A34" w:rsidP="00C04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34"/>
    <w:rsid w:val="000950E9"/>
    <w:rsid w:val="00174D74"/>
    <w:rsid w:val="005C5264"/>
    <w:rsid w:val="00800D57"/>
    <w:rsid w:val="009C2557"/>
    <w:rsid w:val="00A72498"/>
    <w:rsid w:val="00C04A34"/>
    <w:rsid w:val="00F6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C3AF3"/>
  <w15:chartTrackingRefBased/>
  <w15:docId w15:val="{1B156085-9C86-45CF-9E6F-7302216F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0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4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04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0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0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0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0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4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0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4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4A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04A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04A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04A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04A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04A3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0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0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0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0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0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04A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04A3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04A3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04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04A3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04A34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0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4A34"/>
  </w:style>
  <w:style w:type="paragraph" w:styleId="Pta">
    <w:name w:val="footer"/>
    <w:basedOn w:val="Normlny"/>
    <w:link w:val="PtaChar"/>
    <w:uiPriority w:val="99"/>
    <w:unhideWhenUsed/>
    <w:rsid w:val="00C0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2442</Characters>
  <Application>Microsoft Office Word</Application>
  <DocSecurity>4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Zitna Zuzana /MEPO/MZV</dc:creator>
  <cp:keywords/>
  <dc:description/>
  <cp:lastModifiedBy>Spisakova Kristina /OKOM/MZV</cp:lastModifiedBy>
  <cp:revision>2</cp:revision>
  <dcterms:created xsi:type="dcterms:W3CDTF">2025-03-24T07:52:00Z</dcterms:created>
  <dcterms:modified xsi:type="dcterms:W3CDTF">2025-03-24T07:52:00Z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7a067-241f-4283-a795-648c046fe564_Enabled">
    <vt:lpwstr>true</vt:lpwstr>
  </property>
  <property fmtid="{D5CDD505-2E9C-101B-9397-08002B2CF9AE}" pid="3" name="MSIP_Label_80c7a067-241f-4283-a795-648c046fe564_SetDate">
    <vt:lpwstr>2025-03-24T07:49:36Z</vt:lpwstr>
  </property>
  <property fmtid="{D5CDD505-2E9C-101B-9397-08002B2CF9AE}" pid="4" name="MSIP_Label_80c7a067-241f-4283-a795-648c046fe564_Method">
    <vt:lpwstr>Privileged</vt:lpwstr>
  </property>
  <property fmtid="{D5CDD505-2E9C-101B-9397-08002B2CF9AE}" pid="5" name="MSIP_Label_80c7a067-241f-4283-a795-648c046fe564_Name">
    <vt:lpwstr>Bez označenia</vt:lpwstr>
  </property>
  <property fmtid="{D5CDD505-2E9C-101B-9397-08002B2CF9AE}" pid="6" name="MSIP_Label_80c7a067-241f-4283-a795-648c046fe564_SiteId">
    <vt:lpwstr>8fe5905d-1a8a-4469-a0d9-11f2c367f0ac</vt:lpwstr>
  </property>
  <property fmtid="{D5CDD505-2E9C-101B-9397-08002B2CF9AE}" pid="7" name="MSIP_Label_80c7a067-241f-4283-a795-648c046fe564_ActionId">
    <vt:lpwstr>321cc32a-c0a0-4e52-86e2-e212b58551a0</vt:lpwstr>
  </property>
  <property fmtid="{D5CDD505-2E9C-101B-9397-08002B2CF9AE}" pid="8" name="MSIP_Label_80c7a067-241f-4283-a795-648c046fe564_ContentBits">
    <vt:lpwstr>0</vt:lpwstr>
  </property>
</Properties>
</file>